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E4" w:rsidRDefault="00DC6AE4" w:rsidP="00AC158C">
      <w:pPr>
        <w:spacing w:after="360" w:line="240" w:lineRule="auto"/>
        <w:jc w:val="right"/>
        <w:rPr>
          <w:rFonts w:ascii="Arial" w:hAnsi="Arial" w:cs="Arial"/>
          <w:color w:val="333333"/>
          <w:sz w:val="23"/>
          <w:szCs w:val="23"/>
          <w:lang w:eastAsia="ru-RU"/>
        </w:rPr>
      </w:pPr>
      <w:r>
        <w:rPr>
          <w:rFonts w:ascii="Arial" w:hAnsi="Arial" w:cs="Arial"/>
          <w:color w:val="333333"/>
          <w:sz w:val="23"/>
          <w:szCs w:val="23"/>
          <w:lang w:eastAsia="ru-RU"/>
        </w:rPr>
        <w:t>Утверждаю</w:t>
      </w:r>
    </w:p>
    <w:p w:rsidR="00DC6AE4" w:rsidRDefault="00DC6AE4" w:rsidP="00AC158C">
      <w:pPr>
        <w:spacing w:after="360" w:line="240" w:lineRule="auto"/>
        <w:jc w:val="right"/>
        <w:rPr>
          <w:rFonts w:ascii="Arial" w:hAnsi="Arial" w:cs="Arial"/>
          <w:color w:val="333333"/>
          <w:sz w:val="23"/>
          <w:szCs w:val="23"/>
          <w:lang w:eastAsia="ru-RU"/>
        </w:rPr>
      </w:pPr>
      <w:r>
        <w:rPr>
          <w:rFonts w:ascii="Arial" w:hAnsi="Arial" w:cs="Arial"/>
          <w:color w:val="333333"/>
          <w:sz w:val="23"/>
          <w:szCs w:val="23"/>
          <w:lang w:eastAsia="ru-RU"/>
        </w:rPr>
        <w:t>Г</w:t>
      </w:r>
      <w:r w:rsidRPr="00007EFD">
        <w:rPr>
          <w:rFonts w:ascii="Arial" w:hAnsi="Arial" w:cs="Arial"/>
          <w:color w:val="333333"/>
          <w:sz w:val="23"/>
          <w:szCs w:val="23"/>
          <w:lang w:eastAsia="ru-RU"/>
        </w:rPr>
        <w:t>лавн</w:t>
      </w:r>
      <w:r>
        <w:rPr>
          <w:rFonts w:ascii="Arial" w:hAnsi="Arial" w:cs="Arial"/>
          <w:color w:val="333333"/>
          <w:sz w:val="23"/>
          <w:szCs w:val="23"/>
          <w:lang w:eastAsia="ru-RU"/>
        </w:rPr>
        <w:t>ый</w:t>
      </w:r>
      <w:r w:rsidRPr="00007EFD">
        <w:rPr>
          <w:rFonts w:ascii="Arial" w:hAnsi="Arial" w:cs="Arial"/>
          <w:color w:val="333333"/>
          <w:sz w:val="23"/>
          <w:szCs w:val="23"/>
          <w:lang w:eastAsia="ru-RU"/>
        </w:rPr>
        <w:t xml:space="preserve"> врач</w:t>
      </w:r>
    </w:p>
    <w:p w:rsidR="00DC6AE4" w:rsidRPr="00007EFD" w:rsidRDefault="00DC6AE4" w:rsidP="00AC158C">
      <w:pPr>
        <w:spacing w:after="360" w:line="240" w:lineRule="auto"/>
        <w:jc w:val="center"/>
        <w:rPr>
          <w:rFonts w:ascii="Arial" w:hAnsi="Arial" w:cs="Arial"/>
          <w:color w:val="333333"/>
          <w:sz w:val="23"/>
          <w:szCs w:val="23"/>
          <w:lang w:eastAsia="ru-RU"/>
        </w:rPr>
      </w:pPr>
      <w:r>
        <w:rPr>
          <w:rFonts w:ascii="Arial" w:hAnsi="Arial" w:cs="Arial"/>
          <w:color w:val="333333"/>
          <w:sz w:val="23"/>
          <w:szCs w:val="23"/>
          <w:lang w:eastAsia="ru-RU"/>
        </w:rPr>
        <w:t xml:space="preserve">                                                                                               ГБУЗ НСО «Кочковская ЦРБ»</w:t>
      </w:r>
    </w:p>
    <w:p w:rsidR="00DC6AE4" w:rsidRPr="00007EFD" w:rsidRDefault="00DC6AE4" w:rsidP="00AC158C">
      <w:pPr>
        <w:spacing w:after="360" w:line="240" w:lineRule="auto"/>
        <w:jc w:val="right"/>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 xml:space="preserve">Положение об антикоррупционной политике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 </w:t>
      </w:r>
      <w:r>
        <w:rPr>
          <w:rFonts w:ascii="Arial" w:hAnsi="Arial" w:cs="Arial"/>
          <w:b/>
          <w:bCs/>
          <w:color w:val="333333"/>
          <w:sz w:val="23"/>
          <w:lang w:eastAsia="ru-RU"/>
        </w:rPr>
        <w:t>ГБУЗ НСО «Кочковская ЦРБ»</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 Общие положения</w:t>
      </w:r>
    </w:p>
    <w:p w:rsidR="00DC6AE4" w:rsidRPr="00007EFD" w:rsidRDefault="00DC6AE4" w:rsidP="00AC158C">
      <w:pPr>
        <w:spacing w:after="360" w:line="324" w:lineRule="auto"/>
        <w:jc w:val="both"/>
        <w:rPr>
          <w:rFonts w:ascii="Arial" w:hAnsi="Arial" w:cs="Arial"/>
          <w:color w:val="333333"/>
          <w:sz w:val="23"/>
          <w:szCs w:val="23"/>
          <w:lang w:eastAsia="ru-RU"/>
        </w:rPr>
      </w:pPr>
      <w:r w:rsidRPr="00007EFD">
        <w:rPr>
          <w:rFonts w:ascii="Arial" w:hAnsi="Arial" w:cs="Arial"/>
          <w:color w:val="333333"/>
          <w:sz w:val="23"/>
          <w:szCs w:val="23"/>
          <w:lang w:eastAsia="ru-RU"/>
        </w:rPr>
        <w:t xml:space="preserve">Антикоррупционная политика Государственного бюджетного учреждения здравоохранения </w:t>
      </w:r>
      <w:r>
        <w:rPr>
          <w:rFonts w:ascii="Arial" w:hAnsi="Arial" w:cs="Arial"/>
          <w:color w:val="333333"/>
          <w:sz w:val="23"/>
          <w:szCs w:val="23"/>
          <w:lang w:eastAsia="ru-RU"/>
        </w:rPr>
        <w:t>Новосибирской области</w:t>
      </w:r>
      <w:r w:rsidRPr="00007EFD">
        <w:rPr>
          <w:rFonts w:ascii="Arial" w:hAnsi="Arial" w:cs="Arial"/>
          <w:color w:val="333333"/>
          <w:sz w:val="23"/>
          <w:szCs w:val="23"/>
          <w:lang w:eastAsia="ru-RU"/>
        </w:rPr>
        <w:t xml:space="preserve"> «</w:t>
      </w:r>
      <w:r>
        <w:rPr>
          <w:rFonts w:ascii="Arial" w:hAnsi="Arial" w:cs="Arial"/>
          <w:color w:val="333333"/>
          <w:sz w:val="23"/>
          <w:szCs w:val="23"/>
          <w:lang w:eastAsia="ru-RU"/>
        </w:rPr>
        <w:t>Кочковская центральная</w:t>
      </w:r>
      <w:r w:rsidRPr="00007EFD">
        <w:rPr>
          <w:rFonts w:ascii="Arial" w:hAnsi="Arial" w:cs="Arial"/>
          <w:color w:val="333333"/>
          <w:sz w:val="23"/>
          <w:szCs w:val="23"/>
          <w:lang w:eastAsia="ru-RU"/>
        </w:rPr>
        <w:t>  районная  больница» (далее – Больница)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больницы.</w:t>
      </w:r>
    </w:p>
    <w:p w:rsidR="00DC6AE4" w:rsidRPr="00007EFD" w:rsidRDefault="00DC6AE4" w:rsidP="00AC158C">
      <w:pPr>
        <w:spacing w:after="360" w:line="324" w:lineRule="auto"/>
        <w:jc w:val="both"/>
        <w:rPr>
          <w:rFonts w:ascii="Arial" w:hAnsi="Arial" w:cs="Arial"/>
          <w:color w:val="333333"/>
          <w:sz w:val="23"/>
          <w:szCs w:val="23"/>
          <w:lang w:eastAsia="ru-RU"/>
        </w:rPr>
      </w:pPr>
      <w:r w:rsidRPr="00007EFD">
        <w:rPr>
          <w:rFonts w:ascii="Arial" w:hAnsi="Arial" w:cs="Arial"/>
          <w:color w:val="333333"/>
          <w:sz w:val="23"/>
          <w:szCs w:val="23"/>
          <w:lang w:eastAsia="ru-RU"/>
        </w:rPr>
        <w:t>Положение разработано в соответствии с Федеральным законом от 25.12.2008 г. № 273-ФЗ «О противодействии коррупции»,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p>
    <w:p w:rsidR="00DC6AE4" w:rsidRPr="00007EFD" w:rsidRDefault="00DC6AE4" w:rsidP="00AC158C">
      <w:pPr>
        <w:spacing w:after="360" w:line="324" w:lineRule="auto"/>
        <w:jc w:val="both"/>
        <w:rPr>
          <w:rFonts w:ascii="Arial" w:hAnsi="Arial" w:cs="Arial"/>
          <w:color w:val="333333"/>
          <w:sz w:val="23"/>
          <w:szCs w:val="23"/>
          <w:lang w:eastAsia="ru-RU"/>
        </w:rPr>
      </w:pPr>
      <w:r w:rsidRPr="00007EFD">
        <w:rPr>
          <w:rFonts w:ascii="Arial" w:hAnsi="Arial" w:cs="Arial"/>
          <w:b/>
          <w:b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2. Цели и задачи внедрения антикоррупционной политики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szCs w:val="23"/>
          <w:lang w:eastAsia="ru-RU"/>
        </w:rPr>
        <w:t>Основными целями антикоррупционной политики  Больницы являются: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предупреждение коррупции в Больнице;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обеспечение ответственности за коррупционные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формирование антикоррупционного сознания у работников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szCs w:val="23"/>
          <w:lang w:eastAsia="ru-RU"/>
        </w:rPr>
        <w:t>Основные задачи антикоррупционной политики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формирование у работников понимания позиции  в неприятии коррупции в любых формах и проявлениях;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минимизация риска вовлечения работников Больницы в коррупционную деятельность;</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обеспечение ответственности за коррупционные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мониторинг эффективности мероприятий антикоррупционной политики;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установление обязанности работников Больницы знать и соблюдать требования настоящей политики, основные нормы антикоррупционного законодательства.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3. Термины и определения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Коррупция</w:t>
      </w:r>
      <w:r w:rsidRPr="00007EFD">
        <w:rPr>
          <w:rFonts w:ascii="Arial" w:hAnsi="Arial" w:cs="Arial"/>
          <w:b/>
          <w:bCs/>
          <w:i/>
          <w:iCs/>
          <w:color w:val="333333"/>
          <w:sz w:val="23"/>
          <w:szCs w:val="23"/>
          <w:lang w:eastAsia="ru-RU"/>
        </w:rPr>
        <w:t> </w:t>
      </w:r>
      <w:r w:rsidRPr="00007EFD">
        <w:rPr>
          <w:rFonts w:ascii="Arial" w:hAnsi="Arial" w:cs="Arial"/>
          <w:i/>
          <w:iCs/>
          <w:color w:val="333333"/>
          <w:sz w:val="23"/>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Федерального закона от 25 декабря 2008 г. N 273-ФЗ «О противодействии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Противодействие коррупции</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Федерального закона от 25 декабря 2008 N 273-ФЗ «О противодействии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i/>
          <w:iCs/>
          <w:color w:val="333333"/>
          <w:sz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i/>
          <w:iCs/>
          <w:color w:val="333333"/>
          <w:sz w:val="23"/>
          <w:lang w:eastAsia="ru-RU"/>
        </w:rPr>
        <w:t>б) по выявлению, предупреждению, пресечению, раскрытию и расследованию коррупционных правонарушений (борьба с коррупцией);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i/>
          <w:iCs/>
          <w:color w:val="333333"/>
          <w:sz w:val="23"/>
          <w:lang w:eastAsia="ru-RU"/>
        </w:rPr>
        <w:t>в) по минимизации и (или) ликвидации последствий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Организация</w:t>
      </w:r>
      <w:r w:rsidRPr="00007EFD">
        <w:rPr>
          <w:rFonts w:ascii="Arial" w:hAnsi="Arial" w:cs="Arial"/>
          <w:b/>
          <w:bCs/>
          <w:i/>
          <w:iCs/>
          <w:color w:val="333333"/>
          <w:sz w:val="23"/>
          <w:szCs w:val="23"/>
          <w:lang w:eastAsia="ru-RU"/>
        </w:rPr>
        <w:t> </w:t>
      </w:r>
      <w:r w:rsidRPr="00007EFD">
        <w:rPr>
          <w:rFonts w:ascii="Arial" w:hAnsi="Arial" w:cs="Arial"/>
          <w:i/>
          <w:iCs/>
          <w:color w:val="333333"/>
          <w:sz w:val="23"/>
          <w:lang w:eastAsia="ru-RU"/>
        </w:rPr>
        <w:t>— юридическое лицо независимо от формы собственности, организационно-правовой формы и отраслевой принадлежности.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Контрагент</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Взятка</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Коммерческий подкуп</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007EFD">
        <w:rPr>
          <w:rFonts w:ascii="Arial" w:hAnsi="Arial" w:cs="Arial"/>
          <w:i/>
          <w:iCs/>
          <w:color w:val="333333"/>
          <w:sz w:val="23"/>
          <w:u w:val="single"/>
          <w:lang w:eastAsia="ru-RU"/>
        </w:rPr>
        <w:t>часть 1 статьи 204</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Уголовного кодекса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Конфликт интересов</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i/>
          <w:iCs/>
          <w:color w:val="333333"/>
          <w:sz w:val="23"/>
          <w:u w:val="single"/>
          <w:lang w:eastAsia="ru-RU"/>
        </w:rPr>
        <w:t>Личная заинтересованность работника</w:t>
      </w:r>
      <w:r w:rsidRPr="00007EFD">
        <w:rPr>
          <w:rFonts w:ascii="Arial" w:hAnsi="Arial" w:cs="Arial"/>
          <w:i/>
          <w:iCs/>
          <w:color w:val="333333"/>
          <w:sz w:val="23"/>
          <w:szCs w:val="23"/>
          <w:lang w:eastAsia="ru-RU"/>
        </w:rPr>
        <w:t> </w:t>
      </w:r>
      <w:r w:rsidRPr="00007EFD">
        <w:rPr>
          <w:rFonts w:ascii="Arial" w:hAnsi="Arial" w:cs="Arial"/>
          <w:i/>
          <w:iCs/>
          <w:color w:val="333333"/>
          <w:sz w:val="23"/>
          <w:lang w:eastAsia="ru-RU"/>
        </w:rPr>
        <w:t>(представителя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i/>
          <w:i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4. Основные принципы антикоррупционной  деятельности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Система мер противодействия коррупции в Больнице основывается на следующих ключевых принципах: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Принцип соответствия политики Больницы  действующему законодательству и общепринятым нормам.</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Больнице.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Принцип личного примера руководства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Ключевая роль руководства Больницы  в формировании культуры нетерпимости к коррупции и в создании внутриорганизационной системы предупреждения и противодействия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Принцип вовлеченности работников.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Информированность работников Больницы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Принцип соразмерности антикоррупционных процедур риску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Разработка и выполнение комплекса мероприятий, позволяющих снизить вероятность вовлечения Больницы, его руководителей и сотрудников в коррупционную деятельность, осуществляется с учетом существующих в деятельности  Больницы  коррупционных рисков.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Принцип эффективности антикоррупционных процедур.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Применение в Больнице таких антикоррупционных мероприятий, которые имеют низкую стоимость, обеспечивают простоту реализации и приносят значимый результат.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6)     Принцип ответственности и неотвратимости наказания.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Неотвратимость наказания для работников Больницы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Больницы за реализацию внутрибольничной  антикоррупционной политики.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7)     Принцип открытости работы.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Информирование контрагентов, партнеров и общественности о принятых в организации антикоррупционных стандартах работы.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8)     Принцип постоянного контроля и регулярного мониторинга.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5. Область применения политики и круг лиц, попадающих под ее действие.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и на других лиц, с которыми Больница  вступает в договорные отношения.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Ответственные за реализацию антикоррупционной политики: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Должностные лица: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главный  врач Больницы, заместители  главного  врача  Больницы, главный бухгалтер, главная медицинская сестра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руководители структурных подразделений.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Комиссия по этике и противодействию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6. Общие обязанности работников  Больницы  в связи с предупреждением и  противодействием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 воздерживаться от совершения и (или) участия в совершении коррупционных правонарушений в интересах или от имени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Больницы о случаях склонения работника к совершению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Больницы о ставшей известной работнику информации о случаях совершения коррупционных правонарушений другими работниками, контрагентами Больницы или иными лицами;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7.  Специальные обязанности работников Больницы в связи с предупреждением и    противодействием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Больнице: 1) руководства Больницы;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Как общие, так и специальные обязанности включаются в трудовой договор с работником Больницы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8. Перечень антикоррупционных мероприятий и порядок их выполнения (применения)</w:t>
      </w:r>
    </w:p>
    <w:tbl>
      <w:tblPr>
        <w:tblW w:w="48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131"/>
        <w:gridCol w:w="5000"/>
      </w:tblGrid>
      <w:tr w:rsidR="00DC6AE4" w:rsidRPr="00851CCA" w:rsidTr="00007EFD">
        <w:trPr>
          <w:tblCellSpacing w:w="7" w:type="dxa"/>
        </w:trPr>
        <w:tc>
          <w:tcPr>
            <w:tcW w:w="4110" w:type="dxa"/>
            <w:tcBorders>
              <w:top w:val="outset" w:sz="6" w:space="0" w:color="auto"/>
              <w:bottom w:val="outset" w:sz="6" w:space="0" w:color="auto"/>
              <w:right w:val="outset" w:sz="6" w:space="0" w:color="auto"/>
            </w:tcBorders>
            <w:vAlign w:val="center"/>
          </w:tcPr>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Направление</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Мероприятие</w:t>
            </w:r>
          </w:p>
        </w:tc>
      </w:tr>
      <w:tr w:rsidR="00DC6AE4" w:rsidRPr="00851CCA" w:rsidTr="00007EFD">
        <w:trPr>
          <w:tblCellSpacing w:w="7" w:type="dxa"/>
        </w:trPr>
        <w:tc>
          <w:tcPr>
            <w:tcW w:w="4110" w:type="dxa"/>
            <w:vMerge w:val="restart"/>
            <w:tcBorders>
              <w:top w:val="outset" w:sz="6" w:space="0" w:color="auto"/>
              <w:bottom w:val="outset" w:sz="6" w:space="0" w:color="auto"/>
              <w:right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Нормативное обеспечение, закрепление стандартовповедения и декларация намерений</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в документацию о закупках стандартной антикоррупционной оговорки.</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антикоррупционных положений в трудовые договоры (должностные инструкции) работников.</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Разработка и принятие кодекса этики и служебного поведения работников Больницы.</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Разработка и принятие правил, регламентирующих вопросы обмена деловыми подарками и знаками делового гостеприимства.</w:t>
            </w:r>
          </w:p>
        </w:tc>
      </w:tr>
      <w:tr w:rsidR="00DC6AE4" w:rsidRPr="00851CCA" w:rsidTr="00007EFD">
        <w:trPr>
          <w:tblCellSpacing w:w="7" w:type="dxa"/>
        </w:trPr>
        <w:tc>
          <w:tcPr>
            <w:tcW w:w="4110" w:type="dxa"/>
            <w:vMerge w:val="restart"/>
            <w:tcBorders>
              <w:top w:val="outset" w:sz="6" w:space="0" w:color="auto"/>
              <w:bottom w:val="outset" w:sz="6" w:space="0" w:color="auto"/>
              <w:right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Разработка и введение специальных антикоррупционных процедур</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r w:rsidRPr="00007EFD">
              <w:rPr>
                <w:rFonts w:ascii="Arial" w:hAnsi="Arial" w:cs="Arial"/>
                <w:color w:val="333333"/>
                <w:sz w:val="23"/>
                <w:szCs w:val="23"/>
                <w:lang w:eastAsia="ru-RU"/>
              </w:rPr>
              <w:br/>
              <w:t>и т. п.)</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C6AE4" w:rsidRPr="00851CCA" w:rsidTr="00007EFD">
        <w:trPr>
          <w:tblCellSpacing w:w="7" w:type="dxa"/>
        </w:trPr>
        <w:tc>
          <w:tcPr>
            <w:tcW w:w="4110" w:type="dxa"/>
            <w:vMerge w:val="restart"/>
            <w:tcBorders>
              <w:top w:val="outset" w:sz="6" w:space="0" w:color="auto"/>
              <w:bottom w:val="outset" w:sz="6" w:space="0" w:color="auto"/>
              <w:right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Обучение и информирование работников</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Проведение обучающих мероприятий по вопросам профилактики и противодействия коррупции</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C6AE4" w:rsidRPr="00851CCA" w:rsidTr="00007EFD">
        <w:trPr>
          <w:tblCellSpacing w:w="7" w:type="dxa"/>
        </w:trPr>
        <w:tc>
          <w:tcPr>
            <w:tcW w:w="4110" w:type="dxa"/>
            <w:vMerge w:val="restart"/>
            <w:tcBorders>
              <w:top w:val="outset" w:sz="6" w:space="0" w:color="auto"/>
              <w:bottom w:val="outset" w:sz="6" w:space="0" w:color="auto"/>
              <w:right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Осуществление регулярного контроля соблюдения внутренних процедур</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C6AE4" w:rsidRPr="00851CCA" w:rsidTr="00007EFD">
        <w:trPr>
          <w:tblCellSpacing w:w="7" w:type="dxa"/>
        </w:trPr>
        <w:tc>
          <w:tcPr>
            <w:tcW w:w="4110" w:type="dxa"/>
            <w:vMerge w:val="restart"/>
            <w:tcBorders>
              <w:top w:val="outset" w:sz="6" w:space="0" w:color="auto"/>
              <w:bottom w:val="outset" w:sz="6" w:space="0" w:color="auto"/>
              <w:right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Проведение регулярной оценки результатов работы по противодействию коррупции</w:t>
            </w:r>
          </w:p>
        </w:tc>
      </w:tr>
      <w:tr w:rsidR="00DC6AE4" w:rsidRPr="00851CCA" w:rsidTr="00007EFD">
        <w:trPr>
          <w:tblCellSpacing w:w="7" w:type="dxa"/>
        </w:trPr>
        <w:tc>
          <w:tcPr>
            <w:tcW w:w="0" w:type="auto"/>
            <w:vMerge/>
            <w:tcBorders>
              <w:top w:val="outset" w:sz="6" w:space="0" w:color="auto"/>
              <w:bottom w:val="outset" w:sz="6" w:space="0" w:color="auto"/>
              <w:right w:val="outset" w:sz="6" w:space="0" w:color="auto"/>
            </w:tcBorders>
            <w:vAlign w:val="center"/>
          </w:tcPr>
          <w:p w:rsidR="00DC6AE4" w:rsidRPr="00007EFD" w:rsidRDefault="00DC6AE4" w:rsidP="00007EFD">
            <w:pPr>
              <w:spacing w:after="0" w:line="240" w:lineRule="auto"/>
              <w:rPr>
                <w:rFonts w:ascii="Arial" w:hAnsi="Arial" w:cs="Arial"/>
                <w:color w:val="333333"/>
                <w:sz w:val="23"/>
                <w:szCs w:val="23"/>
                <w:lang w:eastAsia="ru-RU"/>
              </w:rPr>
            </w:pPr>
          </w:p>
        </w:tc>
        <w:tc>
          <w:tcPr>
            <w:tcW w:w="0" w:type="auto"/>
            <w:tcBorders>
              <w:top w:val="outset" w:sz="6" w:space="0" w:color="auto"/>
              <w:left w:val="outset" w:sz="6" w:space="0" w:color="auto"/>
              <w:bottom w:val="outset" w:sz="6" w:space="0" w:color="auto"/>
            </w:tcBorders>
            <w:vAlign w:val="center"/>
          </w:tcPr>
          <w:p w:rsidR="00DC6AE4" w:rsidRPr="00007EFD" w:rsidRDefault="00DC6AE4" w:rsidP="00007EFD">
            <w:pPr>
              <w:spacing w:after="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9. Профилактика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Профилактика коррупции в Больнице осуществляется путем применения следующих основных мер: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формирование в  Больнице  нетерпимости к коррупционному поведению;</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Особое внимание уделяется формированию высокого правосознания и правовой культуры работников.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антикоррупционная экспертиза локально-нормативных актов  и их проектов, издаваемых в Больнице;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целях организации деятельности по предупреждению коррупции в Больнице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10. Правила обмена деловыми подарками и знаками делового гостеприимства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целях исключения оказания влияния третьих лиц на деятельность работников Больницы при осуществлении ими трудовой деятельности, а также нарушения норм действующего антикоррупционного законодательства РФ, в Больнице утверждаются Правила обмена деловыми подарками и знаками делового гостеприимства.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11. Оценка коррупционных рисков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Целью оценки коррупционных рисков является определение конкретных бизнес-процессов и деловых операций в деятельности Больницы, при реализации которых наиболее высока вероятность совершения работниками Больницы коррупционных правонарушений как в целях получения личной выгоды, так и в целях получения выгоды Больницей.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Оценка коррупционных рисков проводится в Больнице  на регулярной основе.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Порядок проведения оценки коррупционных рисков: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представить деятельность Больницы в виде отдельных бизнес-процессов, в каждом из которых выделить составные элементы (подпроцессы);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характеристику выгоды или преимущества, которое может быть получено Больницей или ее отдельными работниками при совершении «коррупционного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должности в организации, которые являются «ключевыми» для совершения коррупционного правонарушения, — участие каких должностных лиц Больницы необходимо, чтобы совершение коррупционного правонарушения стало возможным;</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вероятные формы осуществления коррупционных платежей.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детальную регламентацию способа и сроков совершения действий работником в «критической точке»;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реинжиниринг функций, в том числе их перераспределение между структурными подразделениями внутри организации;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введение или расширение процессуальных форм внешнего взаимодействия работников Больницы (с представителями контрагентов, органов государственной власти и др.);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установление дополнительных форм отчетности работников о результатах принятых решений;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введение ограничений, затрудняющих осуществление коррупционных платежей и т.д.</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12. Консультирование и обучение работников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Цели и задачи обучения определяют тематику и форму занятий. Обучение может, в частности, проводиться по следующей тематике: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коррупция в государственном и частном секторах экономики (теоретическая);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юридическая ответственность за совершение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ознакомление с требованиями законодательства и внутренними документами Больницы по вопросам противодействия коррупции и порядком их применения в деятельности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выявление и разрешение конфликта интересов при выполнении трудовых обязанностей;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взаимодействие с правоохранительными органами по вопросам профилактики и противодействия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Больницы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зависимости от времени проведения можно выделить следующие виды обучения: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обучение по вопросам профилактики и противодействия коррупции непосредственно после приема на работу;</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периодическое обучение работников Больницы с целью поддержания их знаний и навыков в сфере противодействия коррупции на должном уровне;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Консультирование по вопросам противодействия коррупции осуществляется в индивидуальном порядке. В этом случае в Больнице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13. Внутренний контроль и аудит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Система внутреннего контроля Больницы способствует профилактике и выявлению коррупционных правонарушений в деятельности Больницы.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Больницы и обеспечение соответствия деятельности Больницы требованиям нормативных правовых актов и локальных нормативных актов Больницы. Для этого система внутреннего контроля и аудита учитывает требования Антикоррупционной политики, реализуемой Больницей, в том числе: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контроль документирования операций хозяйственной деятельности Организации;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проверка экономической обоснованности осуществляемых операций в сферах коррупционного риска.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оплата услуг, характер которых не определен либо вызывает сомнения;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закупки или продажи по ценам, значительно отличающимся от рыночных;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сомнительные платежи наличными.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14. Меры по предупреждению коррупции при взаимодействии с организациями-контрагентами и в зависимых организациях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антикоррупционной работе Больницы,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Больнице внедряются специальные процедуры проверки контрагентов в целях снижения риска вовлечения Больницы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Больнице. Определенные положения о соблюдении антикоррупционных стандартов могут включаться в договоры, заключаемые с организациями-контрагентами.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учреждениях. Больница, в частности, обеспечивает проведение антикоррупционных мер во всех контролируемых ею структурных  подразделениях.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Больнице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15. Сотрудничество с правоохранительными органами в сфере противодействия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Сотрудничество с правоохранительными органами является важным показателем действительной приверженности Больницы декларируемым антикоррупционным стандартам поведения.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Больница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Больницы (работникам Больницы) стало известно.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Больница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Сотрудничество с правоохранительными органами также проявляется в форме: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Больницы по вопросам предупреждения и противодействия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Руководству Больницы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16. Ответственность работников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Каждый работник при заключении трудового договора должен быть ознакомлен под подпись с Антикоррупционной политикой Больницы и локальными нормативными актами, касающимися противодействия коррупции, изданными в Больнице, и соблюдать принципы и требования данных документов.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Работники Больницы,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(см. Приложение).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17. Порядок пересмотра и внесения изменений</w:t>
      </w:r>
      <w:r w:rsidRPr="00007EFD">
        <w:rPr>
          <w:rFonts w:ascii="Arial" w:hAnsi="Arial" w:cs="Arial"/>
          <w:b/>
          <w:bCs/>
          <w:color w:val="333333"/>
          <w:sz w:val="23"/>
          <w:szCs w:val="23"/>
          <w:lang w:eastAsia="ru-RU"/>
        </w:rPr>
        <w:br/>
      </w:r>
      <w:r w:rsidRPr="00007EFD">
        <w:rPr>
          <w:rFonts w:ascii="Arial" w:hAnsi="Arial" w:cs="Arial"/>
          <w:b/>
          <w:bCs/>
          <w:color w:val="333333"/>
          <w:sz w:val="23"/>
          <w:lang w:eastAsia="ru-RU"/>
        </w:rPr>
        <w:t xml:space="preserve">в антикоррупционную политику Больницы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Основными направлениями антикоррупционной экспертизы является: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обобщение и анализ результатов антикоррупционной экспертизы локальных нормативных документов Больницы;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изучение мнения трудового коллектива о состоянии коррупции в Больнице и эффективности принимаемых антикоррупционных мер;</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изучение и анализ принимаемых в Больнице мер по противодействию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анализ публикаций о коррупции в средствах массовой информации.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Комиссия по противодействию коррупции ежегодно представляет руководству Больницы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Комиссии по противодействию коррупции в Больнице.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right"/>
        <w:rPr>
          <w:rFonts w:ascii="Arial" w:hAnsi="Arial" w:cs="Arial"/>
          <w:color w:val="333333"/>
          <w:sz w:val="23"/>
          <w:szCs w:val="23"/>
          <w:lang w:eastAsia="ru-RU"/>
        </w:rPr>
      </w:pPr>
      <w:r w:rsidRPr="00007EFD">
        <w:rPr>
          <w:rFonts w:ascii="Arial" w:hAnsi="Arial" w:cs="Arial"/>
          <w:b/>
          <w:bCs/>
          <w:color w:val="333333"/>
          <w:sz w:val="23"/>
          <w:lang w:eastAsia="ru-RU"/>
        </w:rPr>
        <w:t>Приложение</w:t>
      </w:r>
    </w:p>
    <w:p w:rsidR="00DC6AE4" w:rsidRPr="00007EFD" w:rsidRDefault="00DC6AE4" w:rsidP="00007EFD">
      <w:pPr>
        <w:spacing w:after="360" w:line="324" w:lineRule="auto"/>
        <w:jc w:val="right"/>
        <w:rPr>
          <w:rFonts w:ascii="Arial" w:hAnsi="Arial" w:cs="Arial"/>
          <w:color w:val="333333"/>
          <w:sz w:val="23"/>
          <w:szCs w:val="23"/>
          <w:lang w:eastAsia="ru-RU"/>
        </w:rPr>
      </w:pPr>
      <w:r w:rsidRPr="00007EFD">
        <w:rPr>
          <w:rFonts w:ascii="Arial" w:hAnsi="Arial" w:cs="Arial"/>
          <w:b/>
          <w:bCs/>
          <w:color w:val="333333"/>
          <w:sz w:val="23"/>
          <w:lang w:eastAsia="ru-RU"/>
        </w:rPr>
        <w:t xml:space="preserve">к </w:t>
      </w:r>
      <w:r>
        <w:rPr>
          <w:rFonts w:ascii="Arial" w:hAnsi="Arial" w:cs="Arial"/>
          <w:b/>
          <w:bCs/>
          <w:color w:val="333333"/>
          <w:sz w:val="23"/>
          <w:lang w:eastAsia="ru-RU"/>
        </w:rPr>
        <w:t xml:space="preserve">    </w:t>
      </w:r>
      <w:r w:rsidRPr="00007EFD">
        <w:rPr>
          <w:rFonts w:ascii="Arial" w:hAnsi="Arial" w:cs="Arial"/>
          <w:b/>
          <w:bCs/>
          <w:color w:val="333333"/>
          <w:sz w:val="23"/>
          <w:lang w:eastAsia="ru-RU"/>
        </w:rPr>
        <w:t>Антикоррупционной политике в Больнице</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СБОРНИК</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ПОЛОЖЕНИЙ НОРМАТИВНЫХ ПРАВОВЫХ АКТОВ,</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szCs w:val="23"/>
          <w:lang w:eastAsia="ru-RU"/>
        </w:rPr>
        <w:t>УСТАНАВЛИВАЮЩИХ МЕРЫ ОТВЕТСТВЕННОСТИ ЗА СОВЕРШЕНИЕ КОРРУПЦИОННЫХ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Федеральный закон от 25 декабря 2008 г. N 273-ФЗ</w:t>
      </w:r>
    </w:p>
    <w:p w:rsidR="00DC6AE4" w:rsidRPr="00007EFD" w:rsidRDefault="00DC6AE4" w:rsidP="00007EFD">
      <w:pPr>
        <w:spacing w:after="360" w:line="324" w:lineRule="auto"/>
        <w:jc w:val="center"/>
        <w:rPr>
          <w:rFonts w:ascii="Arial" w:hAnsi="Arial" w:cs="Arial"/>
          <w:color w:val="333333"/>
          <w:sz w:val="23"/>
          <w:szCs w:val="23"/>
          <w:lang w:eastAsia="ru-RU"/>
        </w:rPr>
      </w:pPr>
      <w:r w:rsidRPr="00007EFD">
        <w:rPr>
          <w:rFonts w:ascii="Arial" w:hAnsi="Arial" w:cs="Arial"/>
          <w:b/>
          <w:bCs/>
          <w:color w:val="333333"/>
          <w:sz w:val="23"/>
          <w:lang w:eastAsia="ru-RU"/>
        </w:rPr>
        <w:t>«О противодействии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статьи12Федерального закона N 273-ФЗ, заключенного с данным лицом (часть 3 статьи 12 Федерального закона N 273-ФЗ).</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Пунктом 1 Постановления указано, что сообщение о приеме на работу гражданина осуществляется в письменной форме.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13</w:t>
      </w:r>
      <w:r w:rsidRPr="00007EFD">
        <w:rPr>
          <w:rFonts w:ascii="Arial" w:hAnsi="Arial" w:cs="Arial"/>
          <w:b/>
          <w:bCs/>
          <w:color w:val="333333"/>
          <w:sz w:val="23"/>
          <w:u w:val="single"/>
          <w:lang w:eastAsia="ru-RU"/>
        </w:rPr>
        <w:t>.</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Ответственность физических лиц за коррупционные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13.3.</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Обязанность организаций принимать меры по предупреждению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Организации обязаны разрабатывать и принимать меры по предупреждению коррупции.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Меры по предупреждению коррупции, принимаемые в организации, могут включать:</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сотрудничество организации с правоохранительными органами;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принятие кодекса этики и служебного поведения работников организации;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предотвращение и урегулирование конфликта интересов;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6) недопущение составления неофициальной отчетности и использования поддельных документов.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14.</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Ответственность юридических лиц за коррупционные правонарушения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159. Мошенничество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Мошенничество, совершенное группой лиц по предварительному сговору, а равно с причинением значительного ущерба гражданину,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Мошенничество, совершенное лицом с использованием своего служебного положения, а равно в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159.4. Мошенничество в сфере предпринимательской деятельности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То же деяние, совершенное в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То же деяние, совершенное в особо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201. Злоупотребление полномочиями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То же деяние, повлекшее тяжкие последствия,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sidRPr="00007EFD">
        <w:rPr>
          <w:rFonts w:ascii="Arial" w:hAnsi="Arial" w:cs="Arial"/>
          <w:color w:val="333333"/>
          <w:sz w:val="23"/>
          <w:szCs w:val="23"/>
          <w:u w:val="single"/>
          <w:lang w:eastAsia="ru-RU"/>
        </w:rPr>
        <w:t xml:space="preserve">статьях </w:t>
      </w:r>
      <w:r w:rsidRPr="00007EFD">
        <w:rPr>
          <w:rFonts w:ascii="Arial" w:hAnsi="Arial" w:cs="Arial"/>
          <w:color w:val="333333"/>
          <w:sz w:val="23"/>
          <w:szCs w:val="23"/>
          <w:lang w:eastAsia="ru-RU"/>
        </w:rPr>
        <w:t>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204. Коммерческий подкуп</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Деяния, предусмотренные частью первой настоящей статьи, если они: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совершены группой лиц по предварительному сговору или организованной группой;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совершены за заведомо незаконные действия (бездействие),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Деяния, предусмотренные частью третьей настоящей статьи, если они: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совершены группой лиц по предварительному сговору или организованной группой;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сопряжены с вымогательством предмета подкупа;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совершены за незаконные действия (бездействие),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285. Злоупотребление должностными полномочиями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Деяния, предусмотренные частями первой или второй настоящей статьи, повлекшие тяжкие последствия,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290. Получение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Деяния, предусмотренные частями первой, третьей, четвертой настоящей статьи, если они совершены: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группой лиц по предварительному сговору или организованной группой;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с вымогательством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в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291.</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Дача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Деяния, предусмотренные частями первой — третьей настоящей статьи, если они совершены:</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группой лиц по предварительному сговору или организованной группой;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в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Деяния, предусмотренные частями первой — четвертой настоящей статьи, совершенные в особо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291.1.</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Посредничество во взяточничестве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3. Посредничество во взяточничестве, совершенное: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а) группой лиц по предварительному сговору или организованной группой;</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б) в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4. Посредничество во взяточничестве, совершенное в особо крупном размере,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5. Обещание или предложение посредничества во взяточничестве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 292</w:t>
      </w:r>
      <w:r w:rsidRPr="00007EFD">
        <w:rPr>
          <w:rFonts w:ascii="Arial" w:hAnsi="Arial" w:cs="Arial"/>
          <w:b/>
          <w:bCs/>
          <w:color w:val="333333"/>
          <w:sz w:val="23"/>
          <w:u w:val="single"/>
          <w:lang w:eastAsia="ru-RU"/>
        </w:rPr>
        <w:t>.</w:t>
      </w:r>
      <w:r w:rsidRPr="00007EFD">
        <w:rPr>
          <w:rFonts w:ascii="Arial" w:hAnsi="Arial" w:cs="Arial"/>
          <w:b/>
          <w:bCs/>
          <w:color w:val="333333"/>
          <w:sz w:val="23"/>
          <w:szCs w:val="23"/>
          <w:lang w:eastAsia="ru-RU"/>
        </w:rPr>
        <w:t> </w:t>
      </w:r>
      <w:r w:rsidRPr="00007EFD">
        <w:rPr>
          <w:rFonts w:ascii="Arial" w:hAnsi="Arial" w:cs="Arial"/>
          <w:b/>
          <w:bCs/>
          <w:color w:val="333333"/>
          <w:sz w:val="23"/>
          <w:lang w:eastAsia="ru-RU"/>
        </w:rPr>
        <w:t>Служебный подлог</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b/>
          <w:bCs/>
          <w:color w:val="333333"/>
          <w:sz w:val="23"/>
          <w:lang w:eastAsia="ru-RU"/>
        </w:rPr>
        <w:t>Статья304. Провокация взятки либо коммерческого подкупа</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333333"/>
          <w:sz w:val="23"/>
          <w:szCs w:val="23"/>
          <w:lang w:eastAsia="ru-RU"/>
        </w:rPr>
      </w:pPr>
      <w:r w:rsidRPr="00007EFD">
        <w:rPr>
          <w:rFonts w:ascii="Arial" w:hAnsi="Arial" w:cs="Arial"/>
          <w:color w:val="333333"/>
          <w:sz w:val="23"/>
          <w:szCs w:val="23"/>
          <w:lang w:eastAsia="ru-RU"/>
        </w:rPr>
        <w:t> </w:t>
      </w:r>
    </w:p>
    <w:p w:rsidR="00DC6AE4" w:rsidRPr="00007EFD" w:rsidRDefault="00DC6AE4" w:rsidP="00007EFD">
      <w:pPr>
        <w:spacing w:after="360" w:line="324" w:lineRule="auto"/>
        <w:rPr>
          <w:rFonts w:ascii="Arial" w:hAnsi="Arial" w:cs="Arial"/>
          <w:color w:val="666666"/>
          <w:sz w:val="18"/>
          <w:szCs w:val="18"/>
          <w:lang w:eastAsia="ru-RU"/>
        </w:rPr>
      </w:pPr>
      <w:r w:rsidRPr="00007EFD">
        <w:rPr>
          <w:rFonts w:ascii="Arial" w:hAnsi="Arial" w:cs="Arial"/>
          <w:color w:val="333333"/>
          <w:sz w:val="23"/>
          <w:szCs w:val="23"/>
          <w:lang w:eastAsia="ru-RU"/>
        </w:rPr>
        <w:t> </w:t>
      </w:r>
      <w:r w:rsidRPr="00007EFD">
        <w:rPr>
          <w:rFonts w:ascii="Arial" w:hAnsi="Arial" w:cs="Arial"/>
          <w:color w:val="666666"/>
          <w:sz w:val="18"/>
          <w:szCs w:val="18"/>
          <w:lang w:eastAsia="ru-RU"/>
        </w:rPr>
        <w:t xml:space="preserve"> </w:t>
      </w:r>
    </w:p>
    <w:p w:rsidR="00DC6AE4" w:rsidRDefault="00DC6AE4"/>
    <w:sectPr w:rsidR="00DC6AE4" w:rsidSect="00CA6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EFD"/>
    <w:rsid w:val="00007EFD"/>
    <w:rsid w:val="002E2CE4"/>
    <w:rsid w:val="00435593"/>
    <w:rsid w:val="005D670A"/>
    <w:rsid w:val="00685569"/>
    <w:rsid w:val="00851CCA"/>
    <w:rsid w:val="00872ECD"/>
    <w:rsid w:val="00AC158C"/>
    <w:rsid w:val="00B10A44"/>
    <w:rsid w:val="00CA69E6"/>
    <w:rsid w:val="00DC6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E6"/>
    <w:pPr>
      <w:spacing w:after="200" w:line="276" w:lineRule="auto"/>
    </w:pPr>
    <w:rPr>
      <w:lang w:eastAsia="en-US"/>
    </w:rPr>
  </w:style>
  <w:style w:type="paragraph" w:styleId="Heading1">
    <w:name w:val="heading 1"/>
    <w:basedOn w:val="Normal"/>
    <w:link w:val="Heading1Char"/>
    <w:uiPriority w:val="99"/>
    <w:qFormat/>
    <w:rsid w:val="00007EFD"/>
    <w:pPr>
      <w:spacing w:before="100" w:beforeAutospacing="1" w:after="100" w:afterAutospacing="1" w:line="240" w:lineRule="auto"/>
      <w:outlineLvl w:val="0"/>
    </w:pPr>
    <w:rPr>
      <w:rFonts w:ascii="Arial" w:eastAsia="Times New Roman" w:hAnsi="Arial" w:cs="Arial"/>
      <w:spacing w:val="-15"/>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EFD"/>
    <w:rPr>
      <w:rFonts w:ascii="Arial" w:hAnsi="Arial" w:cs="Arial"/>
      <w:spacing w:val="-15"/>
      <w:kern w:val="36"/>
      <w:sz w:val="48"/>
      <w:szCs w:val="48"/>
      <w:lang w:eastAsia="ru-RU"/>
    </w:rPr>
  </w:style>
  <w:style w:type="character" w:styleId="Hyperlink">
    <w:name w:val="Hyperlink"/>
    <w:basedOn w:val="DefaultParagraphFont"/>
    <w:uiPriority w:val="99"/>
    <w:semiHidden/>
    <w:rsid w:val="00007EFD"/>
    <w:rPr>
      <w:rFonts w:cs="Times New Roman"/>
      <w:color w:val="1FA2E1"/>
      <w:u w:val="none"/>
      <w:effect w:val="none"/>
    </w:rPr>
  </w:style>
  <w:style w:type="paragraph" w:styleId="NormalWeb">
    <w:name w:val="Normal (Web)"/>
    <w:basedOn w:val="Normal"/>
    <w:uiPriority w:val="99"/>
    <w:rsid w:val="00007EFD"/>
    <w:pPr>
      <w:spacing w:after="360"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07EFD"/>
    <w:rPr>
      <w:rFonts w:cs="Times New Roman"/>
      <w:b/>
      <w:bCs/>
    </w:rPr>
  </w:style>
  <w:style w:type="character" w:styleId="Emphasis">
    <w:name w:val="Emphasis"/>
    <w:basedOn w:val="DefaultParagraphFont"/>
    <w:uiPriority w:val="99"/>
    <w:qFormat/>
    <w:rsid w:val="00007EFD"/>
    <w:rPr>
      <w:rFonts w:cs="Times New Roman"/>
      <w:i/>
      <w:iCs/>
    </w:rPr>
  </w:style>
</w:styles>
</file>

<file path=word/webSettings.xml><?xml version="1.0" encoding="utf-8"?>
<w:webSettings xmlns:r="http://schemas.openxmlformats.org/officeDocument/2006/relationships" xmlns:w="http://schemas.openxmlformats.org/wordprocessingml/2006/main">
  <w:divs>
    <w:div w:id="1624312484">
      <w:marLeft w:val="0"/>
      <w:marRight w:val="0"/>
      <w:marTop w:val="0"/>
      <w:marBottom w:val="0"/>
      <w:divBdr>
        <w:top w:val="none" w:sz="0" w:space="0" w:color="auto"/>
        <w:left w:val="none" w:sz="0" w:space="0" w:color="auto"/>
        <w:bottom w:val="none" w:sz="0" w:space="0" w:color="auto"/>
        <w:right w:val="none" w:sz="0" w:space="0" w:color="auto"/>
      </w:divBdr>
      <w:divsChild>
        <w:div w:id="1624312489">
          <w:marLeft w:val="0"/>
          <w:marRight w:val="0"/>
          <w:marTop w:val="0"/>
          <w:marBottom w:val="0"/>
          <w:divBdr>
            <w:top w:val="none" w:sz="0" w:space="0" w:color="auto"/>
            <w:left w:val="none" w:sz="0" w:space="0" w:color="auto"/>
            <w:bottom w:val="none" w:sz="0" w:space="0" w:color="auto"/>
            <w:right w:val="none" w:sz="0" w:space="0" w:color="auto"/>
          </w:divBdr>
          <w:divsChild>
            <w:div w:id="1624312483">
              <w:marLeft w:val="0"/>
              <w:marRight w:val="0"/>
              <w:marTop w:val="0"/>
              <w:marBottom w:val="0"/>
              <w:divBdr>
                <w:top w:val="none" w:sz="0" w:space="0" w:color="auto"/>
                <w:left w:val="none" w:sz="0" w:space="0" w:color="auto"/>
                <w:bottom w:val="none" w:sz="0" w:space="0" w:color="auto"/>
                <w:right w:val="none" w:sz="0" w:space="0" w:color="auto"/>
              </w:divBdr>
              <w:divsChild>
                <w:div w:id="1624312487">
                  <w:marLeft w:val="0"/>
                  <w:marRight w:val="0"/>
                  <w:marTop w:val="525"/>
                  <w:marBottom w:val="0"/>
                  <w:divBdr>
                    <w:top w:val="none" w:sz="0" w:space="0" w:color="auto"/>
                    <w:left w:val="none" w:sz="0" w:space="0" w:color="auto"/>
                    <w:bottom w:val="none" w:sz="0" w:space="0" w:color="auto"/>
                    <w:right w:val="none" w:sz="0" w:space="0" w:color="auto"/>
                  </w:divBdr>
                  <w:divsChild>
                    <w:div w:id="16243124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24312488">
              <w:marLeft w:val="0"/>
              <w:marRight w:val="0"/>
              <w:marTop w:val="150"/>
              <w:marBottom w:val="0"/>
              <w:divBdr>
                <w:top w:val="none" w:sz="0" w:space="0" w:color="auto"/>
                <w:left w:val="none" w:sz="0" w:space="0" w:color="auto"/>
                <w:bottom w:val="none" w:sz="0" w:space="0" w:color="auto"/>
                <w:right w:val="none" w:sz="0" w:space="0" w:color="auto"/>
              </w:divBdr>
              <w:divsChild>
                <w:div w:id="1624312493">
                  <w:marLeft w:val="0"/>
                  <w:marRight w:val="0"/>
                  <w:marTop w:val="0"/>
                  <w:marBottom w:val="0"/>
                  <w:divBdr>
                    <w:top w:val="none" w:sz="0" w:space="0" w:color="auto"/>
                    <w:left w:val="none" w:sz="0" w:space="0" w:color="auto"/>
                    <w:bottom w:val="none" w:sz="0" w:space="0" w:color="auto"/>
                    <w:right w:val="none" w:sz="0" w:space="0" w:color="auto"/>
                  </w:divBdr>
                  <w:divsChild>
                    <w:div w:id="1624312491">
                      <w:marLeft w:val="0"/>
                      <w:marRight w:val="0"/>
                      <w:marTop w:val="0"/>
                      <w:marBottom w:val="0"/>
                      <w:divBdr>
                        <w:top w:val="none" w:sz="0" w:space="0" w:color="auto"/>
                        <w:left w:val="none" w:sz="0" w:space="0" w:color="auto"/>
                        <w:bottom w:val="none" w:sz="0" w:space="0" w:color="auto"/>
                        <w:right w:val="none" w:sz="0" w:space="0" w:color="auto"/>
                      </w:divBdr>
                      <w:divsChild>
                        <w:div w:id="1624312492">
                          <w:marLeft w:val="0"/>
                          <w:marRight w:val="0"/>
                          <w:marTop w:val="0"/>
                          <w:marBottom w:val="0"/>
                          <w:divBdr>
                            <w:top w:val="none" w:sz="0" w:space="0" w:color="auto"/>
                            <w:left w:val="none" w:sz="0" w:space="0" w:color="auto"/>
                            <w:bottom w:val="none" w:sz="0" w:space="0" w:color="auto"/>
                            <w:right w:val="none" w:sz="0" w:space="0" w:color="auto"/>
                          </w:divBdr>
                          <w:divsChild>
                            <w:div w:id="1624312485">
                              <w:marLeft w:val="0"/>
                              <w:marRight w:val="0"/>
                              <w:marTop w:val="0"/>
                              <w:marBottom w:val="0"/>
                              <w:divBdr>
                                <w:top w:val="none" w:sz="0" w:space="0" w:color="auto"/>
                                <w:left w:val="none" w:sz="0" w:space="0" w:color="auto"/>
                                <w:bottom w:val="none" w:sz="0" w:space="0" w:color="auto"/>
                                <w:right w:val="none" w:sz="0" w:space="0" w:color="auto"/>
                              </w:divBdr>
                            </w:div>
                            <w:div w:id="16243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36</Pages>
  <Words>9471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dc:creator>
  <cp:keywords/>
  <dc:description/>
  <cp:lastModifiedBy>1</cp:lastModifiedBy>
  <cp:revision>6</cp:revision>
  <cp:lastPrinted>2015-06-11T04:44:00Z</cp:lastPrinted>
  <dcterms:created xsi:type="dcterms:W3CDTF">2015-06-11T04:32:00Z</dcterms:created>
  <dcterms:modified xsi:type="dcterms:W3CDTF">2017-05-16T02:33:00Z</dcterms:modified>
</cp:coreProperties>
</file>